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fr-FR"/>
        </w:rPr>
        <w:id w:val="4665941"/>
        <w:docPartObj>
          <w:docPartGallery w:val="Table of Contents"/>
          <w:docPartUnique/>
        </w:docPartObj>
      </w:sdtPr>
      <w:sdtEndPr>
        <w:rPr>
          <w:rFonts w:asciiTheme="majorBidi" w:hAnsiTheme="majorBidi"/>
        </w:rPr>
      </w:sdtEndPr>
      <w:sdtContent>
        <w:p w:rsidR="005F4ABF" w:rsidRDefault="005F4ABF" w:rsidP="00747CF9">
          <w:pPr>
            <w:pStyle w:val="En-ttedetabledesmatires"/>
            <w:spacing w:line="360" w:lineRule="auto"/>
            <w:jc w:val="both"/>
          </w:pPr>
        </w:p>
        <w:p w:rsidR="00E73BD8" w:rsidRPr="00D0491A" w:rsidRDefault="00783091" w:rsidP="007E731D">
          <w:pPr>
            <w:pStyle w:val="TM1"/>
            <w:spacing w:after="0"/>
            <w:rPr>
              <w:sz w:val="32"/>
              <w:szCs w:val="32"/>
            </w:rPr>
          </w:pPr>
          <w:r>
            <w:rPr>
              <w:sz w:val="28"/>
              <w:szCs w:val="28"/>
            </w:rPr>
            <w:t xml:space="preserve">                                         </w:t>
          </w:r>
          <w:r w:rsidR="00774458" w:rsidRPr="00774458">
            <w:rPr>
              <w:sz w:val="28"/>
              <w:szCs w:val="28"/>
            </w:rPr>
            <w:fldChar w:fldCharType="begin"/>
          </w:r>
          <w:r w:rsidR="005F4ABF" w:rsidRPr="005F4ABF">
            <w:rPr>
              <w:sz w:val="28"/>
              <w:szCs w:val="28"/>
            </w:rPr>
            <w:instrText xml:space="preserve"> TOC \o "1-3" \h \z \u </w:instrText>
          </w:r>
          <w:r w:rsidR="00774458" w:rsidRPr="00774458">
            <w:rPr>
              <w:sz w:val="28"/>
              <w:szCs w:val="28"/>
            </w:rPr>
            <w:fldChar w:fldCharType="separate"/>
          </w:r>
          <w:hyperlink w:anchor="_Toc57182036" w:history="1">
            <w:r w:rsidR="00E93432" w:rsidRPr="00D0491A">
              <w:rPr>
                <w:rStyle w:val="Lienhypertexte"/>
                <w:rFonts w:asciiTheme="majorBidi" w:hAnsiTheme="majorBidi" w:cstheme="majorBidi"/>
                <w:b/>
                <w:bCs/>
                <w:webHidden/>
                <w:color w:val="auto"/>
                <w:sz w:val="32"/>
                <w:szCs w:val="32"/>
                <w:u w:val="none"/>
              </w:rPr>
              <w:t>Liste</w:t>
            </w:r>
          </w:hyperlink>
          <w:r w:rsidR="00E93432" w:rsidRPr="00D0491A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32"/>
              <w:szCs w:val="32"/>
              <w:u w:val="none"/>
            </w:rPr>
            <w:t xml:space="preserve"> des tableaux</w:t>
          </w:r>
        </w:p>
        <w:p w:rsidR="00D06387" w:rsidRPr="005F4ABF" w:rsidRDefault="00D06387" w:rsidP="007E731D">
          <w:pPr>
            <w:pStyle w:val="TM1"/>
            <w:spacing w:after="0"/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</w:pPr>
          <w:r w:rsidRPr="005F4ABF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>Tableau I-1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 : Quelque zéolite courant selon l’appellation SBA</w:t>
          </w:r>
          <w:r w:rsidRPr="008655D0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…………</w:t>
          </w:r>
          <w:r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6</w:t>
          </w:r>
        </w:p>
        <w:p w:rsidR="00D06387" w:rsidRPr="005F4ABF" w:rsidRDefault="00D06387" w:rsidP="007E731D">
          <w:pPr>
            <w:pStyle w:val="TM1"/>
            <w:spacing w:after="0"/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</w:pPr>
          <w:r w:rsidRPr="005F4ABF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>Tableau I-2 :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Quelques propriétés  de tamis moléculaire fournis par UNION  CARBIDE Linde</w:t>
          </w:r>
          <w:r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……………………………………………...13</w:t>
          </w:r>
        </w:p>
        <w:p w:rsidR="00D06387" w:rsidRPr="005F4ABF" w:rsidRDefault="00D06387" w:rsidP="007E731D">
          <w:pPr>
            <w:pStyle w:val="TM1"/>
            <w:spacing w:after="0"/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</w:pPr>
          <w:r w:rsidRPr="005F4ABF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>Tableau I.3 :</w:t>
          </w:r>
          <w:r w:rsidRPr="007C381E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 xml:space="preserve"> 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Répartition de la consommation des zéolites synthétiques</w:t>
          </w:r>
          <w:r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17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 xml:space="preserve"> </w:t>
          </w:r>
        </w:p>
        <w:p w:rsidR="005F4ABF" w:rsidRPr="005F4ABF" w:rsidRDefault="00774458" w:rsidP="007E731D">
          <w:pPr>
            <w:pStyle w:val="TM1"/>
            <w:spacing w:after="0"/>
            <w:rPr>
              <w:noProof/>
            </w:rPr>
          </w:pPr>
          <w:hyperlink w:anchor="_Toc57182037" w:history="1">
            <w:r w:rsidR="005F4ABF" w:rsidRPr="008655D0">
              <w:rPr>
                <w:rStyle w:val="Lienhypertexte"/>
                <w:rFonts w:asciiTheme="majorBidi" w:hAnsiTheme="majorBidi" w:cstheme="majorBidi"/>
                <w:b/>
                <w:bCs/>
                <w:noProof/>
                <w:color w:val="auto"/>
                <w:sz w:val="28"/>
                <w:szCs w:val="28"/>
              </w:rPr>
              <w:t>T</w:t>
            </w:r>
            <w:r w:rsidR="005F4ABF" w:rsidRPr="007C381E">
              <w:rPr>
                <w:rStyle w:val="Lienhypertexte"/>
                <w:rFonts w:asciiTheme="majorBidi" w:hAnsiTheme="majorBidi" w:cstheme="majorBidi"/>
                <w:b/>
                <w:bCs/>
                <w:noProof/>
                <w:color w:val="auto"/>
                <w:sz w:val="28"/>
                <w:szCs w:val="28"/>
                <w:u w:val="none"/>
              </w:rPr>
              <w:t>ableau III.1</w:t>
            </w:r>
            <w:r w:rsidR="00D05EFC">
              <w:rPr>
                <w:rStyle w:val="Lienhypertexte"/>
                <w:rFonts w:asciiTheme="majorBidi" w:hAnsiTheme="majorBidi" w:cstheme="majorBidi"/>
                <w:b/>
                <w:bCs/>
                <w:noProof/>
                <w:color w:val="auto"/>
                <w:sz w:val="28"/>
                <w:szCs w:val="28"/>
                <w:u w:val="none"/>
              </w:rPr>
              <w:t> :</w:t>
            </w:r>
            <w:r w:rsidR="002A73A3">
              <w:rPr>
                <w:rStyle w:val="Lienhypertexte"/>
                <w:rFonts w:asciiTheme="majorBidi" w:hAnsiTheme="majorBidi" w:cstheme="majorBidi"/>
                <w:b/>
                <w:bCs/>
                <w:noProof/>
                <w:color w:val="auto"/>
                <w:sz w:val="28"/>
                <w:szCs w:val="28"/>
              </w:rPr>
              <w:t> </w:t>
            </w:r>
            <w:r w:rsidR="005F4ABF" w:rsidRPr="000F4D4F">
              <w:rPr>
                <w:rStyle w:val="Lienhypertexte"/>
                <w:rFonts w:asciiTheme="majorBidi" w:hAnsiTheme="majorBidi" w:cstheme="majorBidi"/>
                <w:noProof/>
                <w:color w:val="auto"/>
                <w:sz w:val="28"/>
                <w:szCs w:val="28"/>
                <w:u w:val="none"/>
              </w:rPr>
              <w:t>Composition</w:t>
            </w:r>
            <w:r w:rsidR="005F4ABF" w:rsidRPr="000F4D4F">
              <w:rPr>
                <w:rStyle w:val="Lienhypertexte"/>
                <w:rFonts w:asciiTheme="majorBidi" w:hAnsiTheme="majorBidi" w:cstheme="majorBidi"/>
                <w:noProof/>
                <w:color w:val="auto"/>
                <w:sz w:val="28"/>
                <w:szCs w:val="28"/>
              </w:rPr>
              <w:t xml:space="preserve"> </w:t>
            </w:r>
            <w:r w:rsidR="005F4ABF" w:rsidRPr="008655D0">
              <w:rPr>
                <w:rStyle w:val="Lienhypertexte"/>
                <w:rFonts w:asciiTheme="majorBidi" w:hAnsiTheme="majorBidi" w:cstheme="majorBidi"/>
                <w:noProof/>
                <w:color w:val="auto"/>
                <w:sz w:val="28"/>
                <w:szCs w:val="28"/>
              </w:rPr>
              <w:t>du gaz naturel</w:t>
            </w:r>
            <w:r w:rsidR="005F4ABF" w:rsidRPr="008655D0">
              <w:rPr>
                <w:rStyle w:val="Lienhypertexte"/>
                <w:rFonts w:asciiTheme="majorBidi" w:hAnsiTheme="majorBidi" w:cstheme="majorBidi"/>
                <w:b/>
                <w:bCs/>
                <w:noProof/>
                <w:color w:val="auto"/>
                <w:sz w:val="28"/>
                <w:szCs w:val="28"/>
              </w:rPr>
              <w:t xml:space="preserve"> </w:t>
            </w:r>
            <w:r w:rsidR="005F4ABF" w:rsidRPr="008655D0">
              <w:rPr>
                <w:rStyle w:val="Lienhypertexte"/>
                <w:rFonts w:asciiTheme="majorBidi" w:hAnsiTheme="majorBidi" w:cstheme="majorBidi"/>
                <w:noProof/>
                <w:color w:val="auto"/>
                <w:sz w:val="28"/>
                <w:szCs w:val="28"/>
              </w:rPr>
              <w:t>relevé de l’un des sécheurs</w:t>
            </w:r>
            <w:r w:rsidR="005F4ABF" w:rsidRPr="008655D0">
              <w:rPr>
                <w:noProof/>
                <w:webHidden/>
              </w:rPr>
              <w:tab/>
            </w:r>
            <w:r w:rsidR="00596DC2" w:rsidRPr="00D05EFC">
              <w:rPr>
                <w:noProof/>
                <w:webHidden/>
                <w:sz w:val="28"/>
                <w:szCs w:val="28"/>
              </w:rPr>
              <w:t>43</w:t>
            </w:r>
          </w:hyperlink>
        </w:p>
        <w:p w:rsidR="00A06C16" w:rsidRDefault="00A06C16" w:rsidP="007E731D">
          <w:pPr>
            <w:pStyle w:val="TM1"/>
            <w:spacing w:after="0"/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</w:pPr>
          <w:r w:rsidRPr="005F4ABF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>Tableau III.2: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 xml:space="preserve"> Conditions de travail</w:t>
          </w:r>
          <w:r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……………………………………44</w:t>
          </w:r>
        </w:p>
        <w:p w:rsidR="00A06C16" w:rsidRDefault="00774458" w:rsidP="007E731D">
          <w:pPr>
            <w:pStyle w:val="TM1"/>
            <w:spacing w:after="0"/>
          </w:pPr>
          <w:hyperlink w:anchor="_Toc57182038" w:history="1">
            <w:r w:rsidR="005F4ABF" w:rsidRPr="007C381E">
              <w:rPr>
                <w:rStyle w:val="Lienhypertexte"/>
                <w:rFonts w:asciiTheme="majorBidi" w:hAnsiTheme="majorBidi" w:cstheme="majorBidi"/>
                <w:b/>
                <w:bCs/>
                <w:noProof/>
                <w:color w:val="auto"/>
                <w:sz w:val="28"/>
                <w:szCs w:val="28"/>
                <w:u w:val="none"/>
              </w:rPr>
              <w:t>Tableau</w:t>
            </w:r>
            <w:r w:rsidR="007C381E">
              <w:rPr>
                <w:rStyle w:val="Lienhypertexte"/>
                <w:rFonts w:asciiTheme="majorBidi" w:hAnsiTheme="majorBidi" w:cstheme="majorBidi"/>
                <w:b/>
                <w:bCs/>
                <w:noProof/>
                <w:color w:val="auto"/>
                <w:sz w:val="28"/>
                <w:szCs w:val="28"/>
                <w:u w:val="none"/>
              </w:rPr>
              <w:t xml:space="preserve"> </w:t>
            </w:r>
            <w:r w:rsidR="005F4ABF" w:rsidRPr="007C381E">
              <w:rPr>
                <w:rStyle w:val="Lienhypertexte"/>
                <w:rFonts w:asciiTheme="majorBidi" w:hAnsiTheme="majorBidi" w:cstheme="majorBidi"/>
                <w:b/>
                <w:bCs/>
                <w:noProof/>
                <w:color w:val="auto"/>
                <w:sz w:val="28"/>
                <w:szCs w:val="28"/>
                <w:u w:val="none"/>
              </w:rPr>
              <w:t>III.</w:t>
            </w:r>
            <w:r w:rsidR="005F4ABF" w:rsidRPr="008655D0">
              <w:rPr>
                <w:rStyle w:val="Lienhypertexte"/>
                <w:rFonts w:asciiTheme="majorBidi" w:hAnsiTheme="majorBidi" w:cstheme="majorBidi"/>
                <w:b/>
                <w:bCs/>
                <w:noProof/>
                <w:color w:val="auto"/>
                <w:sz w:val="28"/>
                <w:szCs w:val="28"/>
              </w:rPr>
              <w:t>3 :</w:t>
            </w:r>
            <w:r w:rsidR="005F4ABF" w:rsidRPr="008655D0">
              <w:rPr>
                <w:rStyle w:val="Lienhypertexte"/>
                <w:rFonts w:asciiTheme="majorBidi" w:hAnsiTheme="majorBidi" w:cstheme="majorBidi"/>
                <w:noProof/>
                <w:color w:val="auto"/>
                <w:sz w:val="28"/>
                <w:szCs w:val="28"/>
              </w:rPr>
              <w:t xml:space="preserve"> Spécification relative à la zéolite 4 A-DG TRISIV</w:t>
            </w:r>
          </w:hyperlink>
          <w:r w:rsidR="00392302" w:rsidRPr="00392302">
            <w:rPr>
              <w:sz w:val="28"/>
              <w:szCs w:val="28"/>
            </w:rPr>
            <w:t>………</w:t>
          </w:r>
          <w:r w:rsidR="00392302">
            <w:rPr>
              <w:sz w:val="28"/>
              <w:szCs w:val="28"/>
            </w:rPr>
            <w:t>.4</w:t>
          </w:r>
        </w:p>
        <w:p w:rsidR="00F02084" w:rsidRPr="00A06C16" w:rsidRDefault="00F02084" w:rsidP="007E731D">
          <w:pPr>
            <w:spacing w:after="0" w:line="360" w:lineRule="auto"/>
            <w:jc w:val="both"/>
          </w:pPr>
          <w:r w:rsidRPr="007C381E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>Tableau III.4 :</w:t>
          </w:r>
          <w:r w:rsidRPr="007C381E">
            <w:rPr>
              <w:rStyle w:val="Lienhypertexte"/>
              <w:b/>
              <w:bCs/>
              <w:noProof/>
              <w:color w:val="auto"/>
              <w:u w:val="none"/>
            </w:rPr>
            <w:t xml:space="preserve"> </w:t>
          </w:r>
          <w:r>
            <w:rPr>
              <w:rFonts w:asciiTheme="majorBidi" w:hAnsiTheme="majorBidi" w:cstheme="majorBidi"/>
              <w:sz w:val="28"/>
              <w:szCs w:val="28"/>
            </w:rPr>
            <w:t>D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>iminution de la capacité d‘adsorption du tamis 4 DG-TRISIV</w:t>
          </w:r>
          <w:r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………………………………………………………………….50</w:t>
          </w:r>
          <w:r w:rsidRPr="007C381E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 xml:space="preserve">Tableau III.5 : </w:t>
          </w:r>
          <w:r w:rsidRPr="00AB4C26">
            <w:rPr>
              <w:rFonts w:asciiTheme="majorBidi" w:hAnsiTheme="majorBidi" w:cstheme="majorBidi"/>
              <w:sz w:val="28"/>
              <w:szCs w:val="28"/>
            </w:rPr>
            <w:t>Dimensions de particules de l'adsorbant  pour différentes formes géométriques</w:t>
          </w:r>
          <w:r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</w:t>
          </w:r>
          <w:r w:rsidRPr="00AB4C26">
            <w:rPr>
              <w:rFonts w:asciiTheme="majorBidi" w:hAnsiTheme="majorBidi" w:cstheme="majorBidi"/>
              <w:sz w:val="28"/>
              <w:szCs w:val="28"/>
            </w:rPr>
            <w:t>54</w:t>
          </w:r>
        </w:p>
        <w:p w:rsidR="007F0B3E" w:rsidRDefault="00774458" w:rsidP="007E731D">
          <w:pPr>
            <w:pStyle w:val="TM1"/>
            <w:spacing w:after="0"/>
          </w:pPr>
          <w:hyperlink w:anchor="_Toc57182039" w:history="1">
            <w:r w:rsidR="00CB5EEB" w:rsidRPr="005F4ABF">
              <w:rPr>
                <w:rStyle w:val="Lienhypertexte"/>
                <w:rFonts w:asciiTheme="majorBidi" w:hAnsiTheme="majorBidi" w:cstheme="majorBidi"/>
                <w:b/>
                <w:bCs/>
                <w:noProof/>
                <w:color w:val="auto"/>
                <w:sz w:val="28"/>
                <w:szCs w:val="28"/>
              </w:rPr>
              <w:t>Tableau III.6 :</w:t>
            </w:r>
            <w:r w:rsidR="00CB5EEB" w:rsidRPr="005F4ABF">
              <w:rPr>
                <w:rStyle w:val="Lienhypertexte"/>
                <w:rFonts w:asciiTheme="majorBidi" w:hAnsiTheme="majorBidi" w:cstheme="majorBidi"/>
                <w:noProof/>
                <w:color w:val="auto"/>
                <w:sz w:val="28"/>
                <w:szCs w:val="28"/>
              </w:rPr>
              <w:t xml:space="preserve"> Etude comparative de la masse de l’adsorbant zéolitique existant et celle proposé.</w:t>
            </w:r>
            <w:r w:rsidR="00CB5EEB" w:rsidRPr="005F4ABF">
              <w:rPr>
                <w:noProof/>
                <w:webHidden/>
              </w:rPr>
              <w:tab/>
            </w:r>
          </w:hyperlink>
          <w:r w:rsidR="007F0B3E" w:rsidRPr="007F0B3E">
            <w:rPr>
              <w:sz w:val="28"/>
              <w:szCs w:val="28"/>
            </w:rPr>
            <w:t>63</w:t>
          </w:r>
        </w:p>
        <w:p w:rsidR="00A06C16" w:rsidRDefault="00F02084" w:rsidP="007E731D">
          <w:pPr>
            <w:pStyle w:val="TM1"/>
            <w:spacing w:after="0"/>
            <w:rPr>
              <w:rFonts w:asciiTheme="majorBidi" w:hAnsiTheme="majorBidi" w:cstheme="majorBidi"/>
              <w:color w:val="000000"/>
              <w:sz w:val="28"/>
              <w:szCs w:val="28"/>
            </w:rPr>
          </w:pPr>
          <w:r w:rsidRPr="008C39AD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Tableau </w:t>
          </w:r>
          <w:r w:rsidR="008C39AD" w:rsidRPr="008C39AD">
            <w:rPr>
              <w:rFonts w:asciiTheme="majorBidi" w:hAnsiTheme="majorBidi" w:cstheme="majorBidi"/>
              <w:b/>
              <w:bCs/>
              <w:sz w:val="28"/>
              <w:szCs w:val="28"/>
            </w:rPr>
            <w:t>III</w:t>
          </w:r>
          <w:r w:rsidRPr="008C39AD">
            <w:rPr>
              <w:rFonts w:asciiTheme="majorBidi" w:hAnsiTheme="majorBidi" w:cstheme="majorBidi"/>
              <w:b/>
              <w:bCs/>
              <w:sz w:val="28"/>
              <w:szCs w:val="28"/>
            </w:rPr>
            <w:t>.7 </w:t>
          </w:r>
          <w:r w:rsidRPr="00783091">
            <w:rPr>
              <w:b/>
              <w:bCs/>
              <w:sz w:val="28"/>
              <w:szCs w:val="28"/>
            </w:rPr>
            <w:t>:</w:t>
          </w:r>
          <w:r w:rsidRPr="005F4ABF">
            <w:t xml:space="preserve"> </w:t>
          </w:r>
          <w:r w:rsidRPr="008368A6">
            <w:rPr>
              <w:sz w:val="28"/>
              <w:szCs w:val="28"/>
            </w:rPr>
            <w:t>Etude comparative de l’énergie nécessaire à la régénération</w:t>
          </w:r>
          <w:r w:rsidR="00D92590">
            <w:rPr>
              <w:sz w:val="28"/>
              <w:szCs w:val="28"/>
            </w:rPr>
            <w:t>……………………………………………………………………………….</w:t>
          </w:r>
          <w:r w:rsidR="00D92590" w:rsidRPr="008368A6">
            <w:rPr>
              <w:sz w:val="28"/>
              <w:szCs w:val="28"/>
            </w:rPr>
            <w:t>…......</w:t>
          </w:r>
          <w:r w:rsidRPr="008368A6">
            <w:rPr>
              <w:sz w:val="28"/>
              <w:szCs w:val="28"/>
            </w:rPr>
            <w:t>64</w:t>
          </w:r>
          <w:r w:rsidR="005149FA" w:rsidRPr="002D62BD">
            <w:rPr>
              <w:rFonts w:asciiTheme="majorBidi" w:hAnsiTheme="majorBidi" w:cstheme="majorBidi"/>
              <w:b/>
              <w:bCs/>
              <w:sz w:val="28"/>
              <w:szCs w:val="28"/>
            </w:rPr>
            <w:t>Tableau III.8 : </w:t>
          </w:r>
          <w:r w:rsidR="005149FA" w:rsidRPr="002D62BD">
            <w:rPr>
              <w:rFonts w:asciiTheme="majorBidi" w:hAnsiTheme="majorBidi" w:cstheme="majorBidi"/>
              <w:sz w:val="28"/>
              <w:szCs w:val="28"/>
            </w:rPr>
            <w:t>Tableau</w:t>
          </w:r>
          <w:r w:rsidR="005149FA" w:rsidRPr="002D62BD">
            <w:rPr>
              <w:rFonts w:asciiTheme="majorBidi" w:hAnsiTheme="majorBidi" w:cstheme="majorBidi"/>
              <w:color w:val="000000"/>
              <w:sz w:val="28"/>
              <w:szCs w:val="28"/>
            </w:rPr>
            <w:t xml:space="preserve"> représentative de l’influence de température sur la vitesse de régénération</w:t>
          </w:r>
          <w:r w:rsidR="002A73A3">
            <w:rPr>
              <w:rFonts w:asciiTheme="majorBidi" w:hAnsiTheme="majorBidi" w:cstheme="majorBidi"/>
              <w:color w:val="000000"/>
              <w:sz w:val="28"/>
              <w:szCs w:val="28"/>
            </w:rPr>
            <w:t>……………………………………………….</w:t>
          </w:r>
          <w:r w:rsidR="005149FA">
            <w:rPr>
              <w:rFonts w:asciiTheme="majorBidi" w:hAnsiTheme="majorBidi" w:cstheme="majorBidi"/>
              <w:color w:val="000000"/>
              <w:sz w:val="28"/>
              <w:szCs w:val="28"/>
            </w:rPr>
            <w:t xml:space="preserve"> 65</w:t>
          </w:r>
        </w:p>
        <w:p w:rsidR="00E73BD8" w:rsidRPr="00A06C16" w:rsidRDefault="00C01153" w:rsidP="007E731D">
          <w:pPr>
            <w:pStyle w:val="TM1"/>
            <w:spacing w:after="0"/>
            <w:rPr>
              <w:rFonts w:asciiTheme="majorBidi" w:hAnsiTheme="majorBidi" w:cstheme="majorBidi"/>
              <w:color w:val="000000"/>
              <w:sz w:val="28"/>
              <w:szCs w:val="28"/>
            </w:rPr>
          </w:pP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>Tableau III.9</w:t>
          </w:r>
          <w:r>
            <w:rPr>
              <w:rFonts w:asciiTheme="majorBidi" w:hAnsiTheme="majorBidi" w:cstheme="majorBidi"/>
              <w:b/>
              <w:bCs/>
              <w:sz w:val="28"/>
              <w:szCs w:val="28"/>
            </w:rPr>
            <w:t>:</w:t>
          </w: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> 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>Variation de la vitesse de régénération en fonction de la pression</w:t>
          </w:r>
          <w:r w:rsidR="002A73A3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…………………………………………………………………</w:t>
          </w:r>
          <w:r>
            <w:rPr>
              <w:rFonts w:asciiTheme="majorBidi" w:hAnsiTheme="majorBidi" w:cstheme="majorBidi"/>
              <w:sz w:val="28"/>
              <w:szCs w:val="28"/>
            </w:rPr>
            <w:t>68</w:t>
          </w:r>
        </w:p>
        <w:p w:rsidR="001E689B" w:rsidRDefault="001E689B" w:rsidP="007E731D">
          <w:pPr>
            <w:tabs>
              <w:tab w:val="left" w:pos="1340"/>
            </w:tabs>
            <w:spacing w:before="240" w:after="0" w:line="360" w:lineRule="auto"/>
            <w:ind w:right="23"/>
            <w:jc w:val="both"/>
            <w:rPr>
              <w:rFonts w:asciiTheme="majorBidi" w:hAnsiTheme="majorBidi" w:cstheme="majorBidi"/>
              <w:b/>
              <w:bCs/>
              <w:sz w:val="32"/>
              <w:szCs w:val="32"/>
            </w:rPr>
          </w:pPr>
        </w:p>
        <w:p w:rsidR="001E689B" w:rsidRDefault="001E689B" w:rsidP="007E731D">
          <w:pPr>
            <w:tabs>
              <w:tab w:val="left" w:pos="1340"/>
            </w:tabs>
            <w:spacing w:before="240" w:after="0" w:line="360" w:lineRule="auto"/>
            <w:ind w:right="23"/>
            <w:jc w:val="both"/>
            <w:rPr>
              <w:rFonts w:asciiTheme="majorBidi" w:hAnsiTheme="majorBidi" w:cstheme="majorBidi"/>
              <w:b/>
              <w:bCs/>
              <w:sz w:val="32"/>
              <w:szCs w:val="32"/>
            </w:rPr>
          </w:pPr>
        </w:p>
        <w:p w:rsidR="001E689B" w:rsidRDefault="001E689B" w:rsidP="007E731D">
          <w:pPr>
            <w:tabs>
              <w:tab w:val="left" w:pos="1340"/>
            </w:tabs>
            <w:spacing w:before="240" w:after="0" w:line="360" w:lineRule="auto"/>
            <w:ind w:right="23"/>
            <w:jc w:val="both"/>
            <w:rPr>
              <w:rFonts w:asciiTheme="majorBidi" w:hAnsiTheme="majorBidi" w:cstheme="majorBidi"/>
              <w:b/>
              <w:bCs/>
              <w:sz w:val="32"/>
              <w:szCs w:val="32"/>
            </w:rPr>
          </w:pPr>
        </w:p>
        <w:p w:rsidR="001E689B" w:rsidRDefault="001E689B" w:rsidP="007E731D">
          <w:pPr>
            <w:tabs>
              <w:tab w:val="left" w:pos="1340"/>
            </w:tabs>
            <w:spacing w:before="240" w:after="0" w:line="360" w:lineRule="auto"/>
            <w:ind w:right="23"/>
            <w:jc w:val="both"/>
            <w:rPr>
              <w:rFonts w:asciiTheme="majorBidi" w:hAnsiTheme="majorBidi" w:cstheme="majorBidi"/>
              <w:b/>
              <w:bCs/>
              <w:sz w:val="32"/>
              <w:szCs w:val="32"/>
            </w:rPr>
          </w:pPr>
        </w:p>
        <w:p w:rsidR="001E689B" w:rsidRDefault="001E689B" w:rsidP="007E731D">
          <w:pPr>
            <w:tabs>
              <w:tab w:val="left" w:pos="1340"/>
            </w:tabs>
            <w:spacing w:before="240" w:after="0" w:line="360" w:lineRule="auto"/>
            <w:ind w:right="23"/>
            <w:jc w:val="both"/>
            <w:rPr>
              <w:rFonts w:asciiTheme="majorBidi" w:hAnsiTheme="majorBidi" w:cstheme="majorBidi"/>
              <w:b/>
              <w:bCs/>
              <w:sz w:val="32"/>
              <w:szCs w:val="32"/>
            </w:rPr>
          </w:pPr>
        </w:p>
        <w:p w:rsidR="00E73BD8" w:rsidRDefault="00CC298C" w:rsidP="007E731D">
          <w:pPr>
            <w:tabs>
              <w:tab w:val="left" w:pos="1340"/>
            </w:tabs>
            <w:spacing w:before="240" w:after="0" w:line="360" w:lineRule="auto"/>
            <w:ind w:right="23"/>
            <w:jc w:val="center"/>
            <w:rPr>
              <w:rFonts w:asciiTheme="majorBidi" w:hAnsiTheme="majorBidi" w:cstheme="majorBidi"/>
              <w:b/>
              <w:bCs/>
              <w:sz w:val="32"/>
              <w:szCs w:val="32"/>
            </w:rPr>
          </w:pPr>
          <w:r>
            <w:rPr>
              <w:rFonts w:asciiTheme="majorBidi" w:hAnsiTheme="majorBidi" w:cstheme="majorBidi"/>
              <w:b/>
              <w:bCs/>
              <w:sz w:val="32"/>
              <w:szCs w:val="32"/>
            </w:rPr>
            <w:t>Table</w:t>
          </w:r>
          <w:r w:rsidR="00E93432" w:rsidRPr="00E93432">
            <w:rPr>
              <w:rFonts w:asciiTheme="majorBidi" w:hAnsiTheme="majorBidi" w:cstheme="majorBidi"/>
              <w:b/>
              <w:bCs/>
              <w:sz w:val="32"/>
              <w:szCs w:val="32"/>
            </w:rPr>
            <w:t xml:space="preserve"> des Figures</w:t>
          </w:r>
        </w:p>
        <w:p w:rsidR="00A06C16" w:rsidRDefault="005F4ABF" w:rsidP="007E731D">
          <w:pPr>
            <w:spacing w:before="240" w:after="0" w:line="360" w:lineRule="auto"/>
            <w:jc w:val="both"/>
            <w:outlineLvl w:val="0"/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</w:pPr>
          <w:r w:rsidRPr="005F4ABF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>Figure I-1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: Représentation de coordination des tétraèdres</w:t>
          </w:r>
          <w:r w:rsidR="007E327A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……………..</w:t>
          </w:r>
          <w:r w:rsidR="00A06C16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.</w:t>
          </w:r>
          <w:r w:rsidR="00BB7A25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.</w:t>
          </w:r>
          <w:r w:rsidR="007E327A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5</w:t>
          </w:r>
        </w:p>
        <w:p w:rsidR="005F4ABF" w:rsidRPr="005F4ABF" w:rsidRDefault="005F4ABF" w:rsidP="007E731D">
          <w:pPr>
            <w:spacing w:before="240" w:after="0" w:line="360" w:lineRule="auto"/>
            <w:jc w:val="both"/>
            <w:outlineLvl w:val="0"/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</w:pPr>
          <w:r w:rsidRPr="005F4ABF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>Figure I-2 :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 xml:space="preserve"> Unités de construction secondaires (SBU) dans les zéolites</w:t>
          </w:r>
          <w:r w:rsidR="00B876C9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..7</w:t>
          </w:r>
        </w:p>
        <w:p w:rsidR="005F4ABF" w:rsidRPr="005F4ABF" w:rsidRDefault="005F4ABF" w:rsidP="007E731D">
          <w:pPr>
            <w:pStyle w:val="TM1"/>
            <w:spacing w:after="0"/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</w:pPr>
          <w:r w:rsidRPr="005F4ABF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>Figure I-3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: Structure de la chabazite (source :"Atlas of zeolite"– IZA)</w:t>
          </w:r>
          <w:r w:rsidR="00BB7A25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..</w:t>
          </w:r>
          <w:r w:rsidR="00B876C9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10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 xml:space="preserve"> </w:t>
          </w:r>
          <w:r w:rsidRPr="005F4ABF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>Figure I-4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 xml:space="preserve"> : Assortiments de zéolithes naturelles à gauche et synthétiques (billes, cylindres extrudées) à droite. (sources : photo SOMEZ)</w:t>
          </w:r>
          <w:r w:rsidR="00B876C9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…</w:t>
          </w:r>
          <w:r w:rsidR="00BB7A25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…….</w:t>
          </w:r>
          <w:r w:rsidR="00B876C9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10</w:t>
          </w:r>
        </w:p>
        <w:p w:rsidR="005F4ABF" w:rsidRPr="005F4ABF" w:rsidRDefault="005F4ABF" w:rsidP="007E731D">
          <w:pPr>
            <w:pStyle w:val="TM1"/>
            <w:spacing w:after="0"/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</w:pPr>
          <w:r w:rsidRPr="005F4ABF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>Figure I-5 :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 xml:space="preserve"> Empilement des cuboctaèdres dans la structure de la zéolite A</w:t>
          </w:r>
          <w:r w:rsidR="00BB7A25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………………………………………………………………………...</w:t>
          </w:r>
          <w:r w:rsidR="00F8036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12</w:t>
          </w:r>
        </w:p>
        <w:p w:rsidR="005F4ABF" w:rsidRPr="005F4ABF" w:rsidRDefault="005F4ABF" w:rsidP="007E731D">
          <w:pPr>
            <w:pStyle w:val="TM1"/>
            <w:spacing w:after="0"/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</w:pPr>
          <w:r w:rsidRPr="005F4ABF">
            <w:rPr>
              <w:rStyle w:val="Lienhypertexte"/>
              <w:rFonts w:asciiTheme="majorBidi" w:hAnsiTheme="majorBidi" w:cstheme="majorBidi"/>
              <w:b/>
              <w:bCs/>
              <w:noProof/>
              <w:color w:val="auto"/>
              <w:sz w:val="28"/>
              <w:szCs w:val="28"/>
              <w:u w:val="none"/>
            </w:rPr>
            <w:t xml:space="preserve">Figure I-6: 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Structure d’une zéolite faujasitique (</w:t>
          </w:r>
          <w:r w:rsidR="0080191A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 xml:space="preserve"> 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zéolite Y)</w:t>
          </w:r>
          <w:r w:rsidR="0080191A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 xml:space="preserve"> 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 xml:space="preserve">en milliers de tonnes selon les domaines d’applications. </w:t>
          </w:r>
          <w:r w:rsidR="00BB7A25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……………...</w:t>
          </w:r>
          <w:r w:rsidR="0080191A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................</w:t>
          </w:r>
          <w:r w:rsidR="00392302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......</w:t>
          </w:r>
          <w:r w:rsidR="0080191A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.</w:t>
          </w:r>
          <w:r w:rsidR="00BB7A25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>.15</w:t>
          </w:r>
          <w:r w:rsidRPr="005F4ABF">
            <w:rPr>
              <w:rStyle w:val="Lienhypertexte"/>
              <w:rFonts w:asciiTheme="majorBidi" w:hAnsiTheme="majorBidi" w:cstheme="majorBidi"/>
              <w:noProof/>
              <w:color w:val="auto"/>
              <w:sz w:val="28"/>
              <w:szCs w:val="28"/>
              <w:u w:val="none"/>
            </w:rPr>
            <w:t xml:space="preserve"> </w:t>
          </w:r>
        </w:p>
        <w:p w:rsidR="00AF63A3" w:rsidRPr="005F4ABF" w:rsidRDefault="00AF63A3" w:rsidP="007E731D">
          <w:pPr>
            <w:spacing w:after="0" w:line="360" w:lineRule="auto"/>
            <w:jc w:val="both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Figure II.1 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>Schéma d’un train de liquéfaction de gaz naturel au niveau du complexe GL 2/Z</w:t>
          </w:r>
          <w:r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……………………………………………………….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>.</w:t>
          </w:r>
          <w:r>
            <w:rPr>
              <w:rFonts w:asciiTheme="majorBidi" w:hAnsiTheme="majorBidi" w:cstheme="majorBidi"/>
              <w:sz w:val="28"/>
              <w:szCs w:val="28"/>
            </w:rPr>
            <w:t>22</w:t>
          </w:r>
        </w:p>
        <w:p w:rsidR="00AF63A3" w:rsidRPr="005F4ABF" w:rsidRDefault="00AF63A3" w:rsidP="007E731D">
          <w:pPr>
            <w:spacing w:after="0" w:line="360" w:lineRule="auto"/>
            <w:jc w:val="both"/>
            <w:rPr>
              <w:rFonts w:asciiTheme="majorBidi" w:hAnsiTheme="majorBidi" w:cstheme="majorBidi"/>
              <w:sz w:val="28"/>
              <w:szCs w:val="28"/>
            </w:rPr>
          </w:pP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Figure II.2 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>Schéma de la section de déshydratation du gaz naturel au niveau du complexe GL 2/Z</w:t>
          </w:r>
          <w:r>
            <w:rPr>
              <w:rFonts w:asciiTheme="majorBidi" w:hAnsiTheme="majorBidi" w:cstheme="majorBidi"/>
              <w:sz w:val="28"/>
              <w:szCs w:val="28"/>
            </w:rPr>
            <w:t>…………………………………………….28</w:t>
          </w:r>
        </w:p>
        <w:p w:rsidR="00A06C16" w:rsidRDefault="00AF63A3" w:rsidP="007E731D">
          <w:pPr>
            <w:spacing w:after="0" w:line="360" w:lineRule="auto"/>
            <w:jc w:val="both"/>
            <w:rPr>
              <w:rFonts w:asciiTheme="majorBidi" w:hAnsiTheme="majorBidi" w:cstheme="majorBidi"/>
              <w:sz w:val="28"/>
              <w:szCs w:val="28"/>
            </w:rPr>
          </w:pP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>Figure</w:t>
          </w:r>
          <w:r w:rsidRPr="005F4ABF">
            <w:rPr>
              <w:rStyle w:val="pbti"/>
              <w:rFonts w:asciiTheme="majorBidi" w:hAnsiTheme="majorBidi" w:cstheme="majorBidi"/>
              <w:b/>
              <w:bCs/>
              <w:sz w:val="28"/>
              <w:szCs w:val="28"/>
            </w:rPr>
            <w:t xml:space="preserve"> II.3: </w:t>
          </w:r>
          <w:r>
            <w:rPr>
              <w:rStyle w:val="pbti"/>
              <w:rFonts w:asciiTheme="majorBidi" w:hAnsiTheme="majorBidi" w:cstheme="majorBidi"/>
              <w:sz w:val="28"/>
              <w:szCs w:val="28"/>
            </w:rPr>
            <w:t>E</w:t>
          </w:r>
          <w:r w:rsidRPr="005F4ABF">
            <w:rPr>
              <w:rStyle w:val="pbti"/>
              <w:rFonts w:asciiTheme="majorBidi" w:hAnsiTheme="majorBidi" w:cstheme="majorBidi"/>
              <w:sz w:val="28"/>
              <w:szCs w:val="28"/>
            </w:rPr>
            <w:t>volution de la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 xml:space="preserve">  zone de transfert de masse Z.T.M le long du lit adsorbant</w:t>
          </w:r>
          <w:r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…………………………………………………………......35</w:t>
          </w:r>
        </w:p>
        <w:p w:rsidR="00AF63A3" w:rsidRPr="005F4ABF" w:rsidRDefault="00AF63A3" w:rsidP="007E731D">
          <w:pPr>
            <w:spacing w:after="0" w:line="360" w:lineRule="auto"/>
            <w:jc w:val="both"/>
            <w:rPr>
              <w:rFonts w:asciiTheme="majorBidi" w:hAnsiTheme="majorBidi" w:cstheme="majorBidi"/>
              <w:sz w:val="28"/>
              <w:szCs w:val="28"/>
            </w:rPr>
          </w:pPr>
          <w:r>
            <w:rPr>
              <w:rFonts w:asciiTheme="majorBidi" w:hAnsiTheme="majorBidi" w:cstheme="majorBidi"/>
              <w:b/>
              <w:bCs/>
              <w:sz w:val="28"/>
              <w:szCs w:val="28"/>
            </w:rPr>
            <w:t>F</w:t>
          </w: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>igure</w:t>
          </w:r>
          <w:r w:rsidRPr="005F4ABF">
            <w:rPr>
              <w:rStyle w:val="pbti"/>
              <w:rFonts w:asciiTheme="majorBidi" w:hAnsiTheme="majorBidi" w:cstheme="majorBidi"/>
              <w:b/>
              <w:bCs/>
              <w:sz w:val="28"/>
              <w:szCs w:val="28"/>
            </w:rPr>
            <w:t xml:space="preserve"> II.</w:t>
          </w:r>
          <w:r>
            <w:rPr>
              <w:rStyle w:val="pbti"/>
              <w:rFonts w:asciiTheme="majorBidi" w:hAnsiTheme="majorBidi" w:cstheme="majorBidi"/>
              <w:b/>
              <w:bCs/>
              <w:sz w:val="28"/>
              <w:szCs w:val="28"/>
            </w:rPr>
            <w:t>4: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  <w:r w:rsidRPr="00474786">
            <w:rPr>
              <w:rFonts w:asciiTheme="majorBidi" w:hAnsiTheme="majorBidi" w:cstheme="majorBidi"/>
              <w:sz w:val="28"/>
              <w:szCs w:val="28"/>
            </w:rPr>
            <w:t>Comparaison entre quelques conceptions dd lit</w:t>
          </w:r>
          <w:r>
            <w:rPr>
              <w:rFonts w:asciiTheme="majorBidi" w:hAnsiTheme="majorBidi" w:cstheme="majorBidi"/>
              <w:sz w:val="28"/>
              <w:szCs w:val="28"/>
            </w:rPr>
            <w:t>………......</w:t>
          </w:r>
          <w:r w:rsidRPr="00474786">
            <w:rPr>
              <w:rFonts w:asciiTheme="majorBidi" w:hAnsiTheme="majorBidi" w:cstheme="majorBidi"/>
              <w:sz w:val="28"/>
              <w:szCs w:val="28"/>
            </w:rPr>
            <w:t>36</w:t>
          </w:r>
        </w:p>
        <w:p w:rsidR="005F4ABF" w:rsidRPr="005F4ABF" w:rsidRDefault="005F4ABF" w:rsidP="007E731D">
          <w:pPr>
            <w:tabs>
              <w:tab w:val="left" w:pos="1340"/>
            </w:tabs>
            <w:spacing w:before="240" w:after="0" w:line="360" w:lineRule="auto"/>
            <w:ind w:right="23"/>
            <w:jc w:val="both"/>
            <w:rPr>
              <w:rFonts w:asciiTheme="majorBidi" w:hAnsiTheme="majorBidi" w:cstheme="majorBidi"/>
              <w:sz w:val="28"/>
              <w:szCs w:val="28"/>
            </w:rPr>
          </w:pP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>Figure III.1</w:t>
          </w:r>
          <w:r>
            <w:rPr>
              <w:rFonts w:asciiTheme="majorBidi" w:hAnsiTheme="majorBidi" w:cstheme="majorBidi"/>
              <w:b/>
              <w:bCs/>
              <w:sz w:val="28"/>
              <w:szCs w:val="28"/>
            </w:rPr>
            <w:t>:</w:t>
          </w: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 </w:t>
          </w:r>
          <w:r>
            <w:rPr>
              <w:rFonts w:asciiTheme="majorBidi" w:hAnsiTheme="majorBidi" w:cstheme="majorBidi"/>
              <w:sz w:val="28"/>
              <w:szCs w:val="28"/>
            </w:rPr>
            <w:t>V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>ariation de la capacité d’adsorption la zéolite 4 ADG-TRISIV en fonction du nombre d’année d’exploitation</w:t>
          </w:r>
          <w:r w:rsidR="00BB7A25">
            <w:rPr>
              <w:rFonts w:asciiTheme="majorBidi" w:hAnsiTheme="majorBidi" w:cstheme="majorBidi"/>
              <w:sz w:val="28"/>
              <w:szCs w:val="28"/>
            </w:rPr>
            <w:t>………………...</w:t>
          </w:r>
          <w:r w:rsidR="005149FA">
            <w:rPr>
              <w:rFonts w:asciiTheme="majorBidi" w:hAnsiTheme="majorBidi" w:cstheme="majorBidi"/>
              <w:sz w:val="28"/>
              <w:szCs w:val="28"/>
            </w:rPr>
            <w:t>51</w:t>
          </w:r>
        </w:p>
        <w:p w:rsidR="005F4ABF" w:rsidRPr="005F4ABF" w:rsidRDefault="005F4ABF" w:rsidP="007E731D">
          <w:pPr>
            <w:tabs>
              <w:tab w:val="left" w:pos="1340"/>
            </w:tabs>
            <w:spacing w:before="240" w:after="0" w:line="360" w:lineRule="auto"/>
            <w:ind w:right="23"/>
            <w:jc w:val="both"/>
            <w:rPr>
              <w:rFonts w:asciiTheme="majorBidi" w:hAnsiTheme="majorBidi" w:cstheme="majorBidi"/>
              <w:sz w:val="28"/>
              <w:szCs w:val="28"/>
            </w:rPr>
          </w:pP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Figure III.2 </w:t>
          </w:r>
          <w:r w:rsidR="001A5F82">
            <w:rPr>
              <w:rFonts w:asciiTheme="majorBidi" w:hAnsiTheme="majorBidi" w:cstheme="majorBidi"/>
              <w:b/>
              <w:bCs/>
              <w:sz w:val="28"/>
              <w:szCs w:val="28"/>
            </w:rPr>
            <w:t>:</w:t>
          </w:r>
          <w:r w:rsidR="001A5F82" w:rsidRPr="005F4ABF">
            <w:rPr>
              <w:rFonts w:asciiTheme="majorBidi" w:hAnsiTheme="majorBidi" w:cstheme="majorBidi"/>
              <w:sz w:val="28"/>
              <w:szCs w:val="28"/>
            </w:rPr>
            <w:t xml:space="preserve"> Variation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 xml:space="preserve"> de la capacité d’adsorption de la zéolite 4DG-TRISIV en fonction du nombre d’année d’exploitation</w:t>
          </w:r>
          <w:r w:rsidR="00BB7A25">
            <w:rPr>
              <w:rFonts w:asciiTheme="majorBidi" w:hAnsiTheme="majorBidi" w:cstheme="majorBidi"/>
              <w:sz w:val="28"/>
              <w:szCs w:val="28"/>
            </w:rPr>
            <w:t>………………...</w:t>
          </w:r>
          <w:r w:rsidR="00536F5B">
            <w:rPr>
              <w:rFonts w:asciiTheme="majorBidi" w:hAnsiTheme="majorBidi" w:cstheme="majorBidi"/>
              <w:sz w:val="28"/>
              <w:szCs w:val="28"/>
            </w:rPr>
            <w:t>66</w:t>
          </w:r>
        </w:p>
        <w:p w:rsidR="00787B8D" w:rsidRDefault="005F4ABF" w:rsidP="007E731D">
          <w:pPr>
            <w:tabs>
              <w:tab w:val="left" w:pos="1340"/>
            </w:tabs>
            <w:spacing w:before="240" w:after="0" w:line="360" w:lineRule="auto"/>
            <w:ind w:right="23"/>
            <w:jc w:val="both"/>
            <w:rPr>
              <w:rFonts w:asciiTheme="majorBidi" w:hAnsiTheme="majorBidi" w:cstheme="majorBidi"/>
              <w:sz w:val="28"/>
              <w:szCs w:val="28"/>
            </w:rPr>
          </w:pP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Figure III.3 </w:t>
          </w:r>
          <w:r w:rsidR="001A5F82">
            <w:rPr>
              <w:rFonts w:asciiTheme="majorBidi" w:hAnsiTheme="majorBidi" w:cstheme="majorBidi"/>
              <w:b/>
              <w:bCs/>
              <w:sz w:val="28"/>
              <w:szCs w:val="28"/>
            </w:rPr>
            <w:t>:</w:t>
          </w:r>
          <w:r w:rsidR="001A5F82" w:rsidRPr="005F4ABF">
            <w:rPr>
              <w:rFonts w:asciiTheme="majorBidi" w:hAnsiTheme="majorBidi" w:cstheme="majorBidi"/>
              <w:sz w:val="28"/>
              <w:szCs w:val="28"/>
            </w:rPr>
            <w:t xml:space="preserve"> Variation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 xml:space="preserve"> de la capacité d’adsorption de la zéolite 4DG-TRISIV en fonction du nombre d’année d’exploitation</w:t>
          </w:r>
          <w:r w:rsidR="00BB7A25">
            <w:rPr>
              <w:rFonts w:asciiTheme="majorBidi" w:hAnsiTheme="majorBidi" w:cstheme="majorBidi"/>
              <w:sz w:val="28"/>
              <w:szCs w:val="28"/>
            </w:rPr>
            <w:t>………………...</w:t>
          </w:r>
          <w:r w:rsidR="00536F5B">
            <w:rPr>
              <w:rFonts w:asciiTheme="majorBidi" w:hAnsiTheme="majorBidi" w:cstheme="majorBidi"/>
              <w:sz w:val="28"/>
              <w:szCs w:val="28"/>
            </w:rPr>
            <w:t>66</w:t>
          </w:r>
        </w:p>
        <w:p w:rsidR="005F4ABF" w:rsidRPr="005F4ABF" w:rsidRDefault="005F4ABF" w:rsidP="007E731D">
          <w:pPr>
            <w:spacing w:before="240" w:after="0" w:line="360" w:lineRule="auto"/>
            <w:jc w:val="both"/>
            <w:rPr>
              <w:rFonts w:asciiTheme="majorBidi" w:hAnsiTheme="majorBidi" w:cstheme="majorBidi"/>
              <w:sz w:val="28"/>
              <w:szCs w:val="28"/>
            </w:rPr>
          </w:pP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lastRenderedPageBreak/>
            <w:t>Figure III.4</w:t>
          </w:r>
          <w:r w:rsidR="00787B8D">
            <w:rPr>
              <w:rFonts w:asciiTheme="majorBidi" w:hAnsiTheme="majorBidi" w:cstheme="majorBidi"/>
              <w:b/>
              <w:bCs/>
              <w:sz w:val="28"/>
              <w:szCs w:val="28"/>
            </w:rPr>
            <w:t>:</w:t>
          </w: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> </w:t>
          </w:r>
          <w:r w:rsidR="00787B8D">
            <w:rPr>
              <w:rFonts w:asciiTheme="majorBidi" w:hAnsiTheme="majorBidi" w:cstheme="majorBidi"/>
              <w:sz w:val="28"/>
              <w:szCs w:val="28"/>
            </w:rPr>
            <w:t>V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>ariations de la vitesse en fonction de la pression de régénération</w:t>
          </w:r>
          <w:r w:rsidR="00BB7A25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……………………………………………………………..</w:t>
          </w:r>
          <w:r w:rsidR="00536F5B">
            <w:rPr>
              <w:rFonts w:asciiTheme="majorBidi" w:hAnsiTheme="majorBidi" w:cstheme="majorBidi"/>
              <w:sz w:val="28"/>
              <w:szCs w:val="28"/>
            </w:rPr>
            <w:t>69</w:t>
          </w:r>
        </w:p>
        <w:p w:rsidR="005F4ABF" w:rsidRPr="005F4ABF" w:rsidRDefault="005F4ABF" w:rsidP="007E731D">
          <w:pPr>
            <w:spacing w:before="240" w:after="0" w:line="360" w:lineRule="auto"/>
            <w:jc w:val="both"/>
            <w:rPr>
              <w:rFonts w:asciiTheme="majorBidi" w:hAnsiTheme="majorBidi" w:cstheme="majorBidi"/>
              <w:sz w:val="28"/>
              <w:szCs w:val="28"/>
            </w:rPr>
          </w:pPr>
          <w:r w:rsidRPr="005F4ABF">
            <w:rPr>
              <w:rFonts w:asciiTheme="majorBidi" w:hAnsiTheme="majorBidi" w:cstheme="majorBidi"/>
              <w:b/>
              <w:bCs/>
              <w:sz w:val="28"/>
              <w:szCs w:val="28"/>
            </w:rPr>
            <w:t>Figure III.5</w:t>
          </w:r>
          <w:r w:rsidR="00787B8D">
            <w:rPr>
              <w:rFonts w:asciiTheme="majorBidi" w:hAnsiTheme="majorBidi" w:cstheme="majorBidi"/>
              <w:b/>
              <w:bCs/>
              <w:sz w:val="28"/>
              <w:szCs w:val="28"/>
            </w:rPr>
            <w:t>: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  <w:r w:rsidR="00787B8D">
            <w:rPr>
              <w:rFonts w:asciiTheme="majorBidi" w:hAnsiTheme="majorBidi" w:cstheme="majorBidi"/>
              <w:sz w:val="28"/>
              <w:szCs w:val="28"/>
            </w:rPr>
            <w:t>V</w:t>
          </w:r>
          <w:r w:rsidRPr="005F4ABF">
            <w:rPr>
              <w:rFonts w:asciiTheme="majorBidi" w:hAnsiTheme="majorBidi" w:cstheme="majorBidi"/>
              <w:sz w:val="28"/>
              <w:szCs w:val="28"/>
            </w:rPr>
            <w:t>ariations de la perte de pression en fonction de la pression de régénération</w:t>
          </w:r>
          <w:r w:rsidR="00BB7A25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………………………………………………………….</w:t>
          </w:r>
          <w:r w:rsidR="00536F5B">
            <w:rPr>
              <w:rFonts w:asciiTheme="majorBidi" w:hAnsiTheme="majorBidi" w:cstheme="majorBidi"/>
              <w:sz w:val="28"/>
              <w:szCs w:val="28"/>
            </w:rPr>
            <w:t>69</w:t>
          </w:r>
          <w:r w:rsidR="00774458" w:rsidRPr="005F4ABF">
            <w:rPr>
              <w:rFonts w:asciiTheme="majorBidi" w:hAnsiTheme="majorBidi" w:cstheme="majorBidi"/>
              <w:sz w:val="28"/>
              <w:szCs w:val="28"/>
            </w:rPr>
            <w:fldChar w:fldCharType="end"/>
          </w:r>
        </w:p>
      </w:sdtContent>
    </w:sdt>
    <w:p w:rsidR="005305D5" w:rsidRPr="005F4ABF" w:rsidRDefault="005305D5" w:rsidP="00381205">
      <w:pPr>
        <w:spacing w:before="240" w:after="240" w:line="240" w:lineRule="auto"/>
        <w:ind w:left="360" w:firstLine="180"/>
        <w:rPr>
          <w:rFonts w:asciiTheme="majorBidi" w:hAnsiTheme="majorBidi" w:cstheme="majorBidi"/>
          <w:sz w:val="28"/>
          <w:szCs w:val="28"/>
        </w:rPr>
      </w:pPr>
    </w:p>
    <w:sectPr w:rsidR="005305D5" w:rsidRPr="005F4ABF" w:rsidSect="00A216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647" w:rsidRDefault="00DA2647" w:rsidP="005F4ABF">
      <w:pPr>
        <w:spacing w:after="0" w:line="240" w:lineRule="auto"/>
      </w:pPr>
      <w:r>
        <w:separator/>
      </w:r>
    </w:p>
  </w:endnote>
  <w:endnote w:type="continuationSeparator" w:id="1">
    <w:p w:rsidR="00DA2647" w:rsidRDefault="00DA2647" w:rsidP="005F4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ABF" w:rsidRDefault="005F4ABF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ABF" w:rsidRDefault="005F4ABF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ABF" w:rsidRDefault="005F4AB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647" w:rsidRDefault="00DA2647" w:rsidP="005F4ABF">
      <w:pPr>
        <w:spacing w:after="0" w:line="240" w:lineRule="auto"/>
      </w:pPr>
      <w:r>
        <w:separator/>
      </w:r>
    </w:p>
  </w:footnote>
  <w:footnote w:type="continuationSeparator" w:id="1">
    <w:p w:rsidR="00DA2647" w:rsidRDefault="00DA2647" w:rsidP="005F4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ABF" w:rsidRDefault="005F4ABF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ABF" w:rsidRDefault="005F4ABF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ABF" w:rsidRDefault="005F4ABF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D5A29"/>
    <w:rsid w:val="0008246B"/>
    <w:rsid w:val="000876FE"/>
    <w:rsid w:val="000E70EA"/>
    <w:rsid w:val="000F4D4F"/>
    <w:rsid w:val="001025F3"/>
    <w:rsid w:val="0016558C"/>
    <w:rsid w:val="00195BE3"/>
    <w:rsid w:val="001A5F82"/>
    <w:rsid w:val="001D61A8"/>
    <w:rsid w:val="001E689B"/>
    <w:rsid w:val="001F1E83"/>
    <w:rsid w:val="00261FC4"/>
    <w:rsid w:val="00281229"/>
    <w:rsid w:val="00283E55"/>
    <w:rsid w:val="00290A45"/>
    <w:rsid w:val="002A73A3"/>
    <w:rsid w:val="002B3E03"/>
    <w:rsid w:val="002D5A29"/>
    <w:rsid w:val="002E1427"/>
    <w:rsid w:val="00303394"/>
    <w:rsid w:val="00307789"/>
    <w:rsid w:val="003440CF"/>
    <w:rsid w:val="00381205"/>
    <w:rsid w:val="00392302"/>
    <w:rsid w:val="0043609D"/>
    <w:rsid w:val="00474786"/>
    <w:rsid w:val="004D6142"/>
    <w:rsid w:val="005149FA"/>
    <w:rsid w:val="005305D5"/>
    <w:rsid w:val="00536F5B"/>
    <w:rsid w:val="00577A13"/>
    <w:rsid w:val="00596DC2"/>
    <w:rsid w:val="005F4ABF"/>
    <w:rsid w:val="006717AF"/>
    <w:rsid w:val="00676987"/>
    <w:rsid w:val="006F44C0"/>
    <w:rsid w:val="0074790C"/>
    <w:rsid w:val="00747CF9"/>
    <w:rsid w:val="00774458"/>
    <w:rsid w:val="00783091"/>
    <w:rsid w:val="00787B8D"/>
    <w:rsid w:val="007A7468"/>
    <w:rsid w:val="007C381E"/>
    <w:rsid w:val="007E327A"/>
    <w:rsid w:val="007E5394"/>
    <w:rsid w:val="007E731D"/>
    <w:rsid w:val="007F0B3E"/>
    <w:rsid w:val="007F4D36"/>
    <w:rsid w:val="0080191A"/>
    <w:rsid w:val="008056E1"/>
    <w:rsid w:val="008368A6"/>
    <w:rsid w:val="008655D0"/>
    <w:rsid w:val="008C39AD"/>
    <w:rsid w:val="008E668B"/>
    <w:rsid w:val="009146DA"/>
    <w:rsid w:val="0095773A"/>
    <w:rsid w:val="00973296"/>
    <w:rsid w:val="00A06C16"/>
    <w:rsid w:val="00A139A5"/>
    <w:rsid w:val="00A21648"/>
    <w:rsid w:val="00A24C68"/>
    <w:rsid w:val="00A267DB"/>
    <w:rsid w:val="00A64820"/>
    <w:rsid w:val="00A979A0"/>
    <w:rsid w:val="00AB1ED1"/>
    <w:rsid w:val="00AB4C26"/>
    <w:rsid w:val="00AD4911"/>
    <w:rsid w:val="00AD5D09"/>
    <w:rsid w:val="00AF63A3"/>
    <w:rsid w:val="00B21875"/>
    <w:rsid w:val="00B5223D"/>
    <w:rsid w:val="00B876C9"/>
    <w:rsid w:val="00BB5A59"/>
    <w:rsid w:val="00BB7A25"/>
    <w:rsid w:val="00C01153"/>
    <w:rsid w:val="00C7418F"/>
    <w:rsid w:val="00C93164"/>
    <w:rsid w:val="00CB5EEB"/>
    <w:rsid w:val="00CB6E69"/>
    <w:rsid w:val="00CC298C"/>
    <w:rsid w:val="00D00245"/>
    <w:rsid w:val="00D0491A"/>
    <w:rsid w:val="00D05EFC"/>
    <w:rsid w:val="00D06387"/>
    <w:rsid w:val="00D92590"/>
    <w:rsid w:val="00D9641D"/>
    <w:rsid w:val="00DA2647"/>
    <w:rsid w:val="00DD4664"/>
    <w:rsid w:val="00E53019"/>
    <w:rsid w:val="00E73BD8"/>
    <w:rsid w:val="00E93432"/>
    <w:rsid w:val="00EB174E"/>
    <w:rsid w:val="00EE6D71"/>
    <w:rsid w:val="00EF0AA7"/>
    <w:rsid w:val="00F02084"/>
    <w:rsid w:val="00F36846"/>
    <w:rsid w:val="00F40564"/>
    <w:rsid w:val="00F470C9"/>
    <w:rsid w:val="00F61AD1"/>
    <w:rsid w:val="00F8036F"/>
    <w:rsid w:val="00F9439A"/>
    <w:rsid w:val="00FD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648"/>
  </w:style>
  <w:style w:type="paragraph" w:styleId="Titre1">
    <w:name w:val="heading 1"/>
    <w:basedOn w:val="Normal"/>
    <w:next w:val="Normal"/>
    <w:link w:val="Titre1Car"/>
    <w:uiPriority w:val="9"/>
    <w:qFormat/>
    <w:rsid w:val="00281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E53019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53019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3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3019"/>
    <w:rPr>
      <w:rFonts w:ascii="Tahoma" w:hAnsi="Tahoma" w:cs="Tahoma"/>
      <w:sz w:val="16"/>
      <w:szCs w:val="16"/>
    </w:rPr>
  </w:style>
  <w:style w:type="paragraph" w:styleId="Tabledesillustrations">
    <w:name w:val="table of figures"/>
    <w:basedOn w:val="Normal"/>
    <w:next w:val="Normal"/>
    <w:uiPriority w:val="99"/>
    <w:unhideWhenUsed/>
    <w:rsid w:val="00281229"/>
    <w:pPr>
      <w:spacing w:after="0"/>
    </w:pPr>
  </w:style>
  <w:style w:type="character" w:styleId="Lienhypertexte">
    <w:name w:val="Hyperlink"/>
    <w:basedOn w:val="Policepardfaut"/>
    <w:uiPriority w:val="99"/>
    <w:unhideWhenUsed/>
    <w:rsid w:val="00281229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281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pbti">
    <w:name w:val="pbti"/>
    <w:basedOn w:val="Policepardfaut"/>
    <w:rsid w:val="0016558C"/>
  </w:style>
  <w:style w:type="paragraph" w:styleId="En-tte">
    <w:name w:val="header"/>
    <w:basedOn w:val="Normal"/>
    <w:link w:val="En-tteCar"/>
    <w:uiPriority w:val="99"/>
    <w:semiHidden/>
    <w:unhideWhenUsed/>
    <w:rsid w:val="005F4A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F4ABF"/>
  </w:style>
  <w:style w:type="paragraph" w:styleId="Pieddepage">
    <w:name w:val="footer"/>
    <w:basedOn w:val="Normal"/>
    <w:link w:val="PieddepageCar"/>
    <w:uiPriority w:val="99"/>
    <w:semiHidden/>
    <w:unhideWhenUsed/>
    <w:rsid w:val="005F4A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F4ABF"/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F4ABF"/>
    <w:pPr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3440CF"/>
    <w:pPr>
      <w:tabs>
        <w:tab w:val="right" w:leader="dot" w:pos="8296"/>
      </w:tabs>
      <w:spacing w:after="100" w:line="360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F657B-96AD-490D-A30B-2E567241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464</Words>
  <Characters>2555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82</cp:revision>
  <cp:lastPrinted>2003-11-22T11:42:00Z</cp:lastPrinted>
  <dcterms:created xsi:type="dcterms:W3CDTF">2003-11-21T10:18:00Z</dcterms:created>
  <dcterms:modified xsi:type="dcterms:W3CDTF">2003-11-25T17:33:00Z</dcterms:modified>
</cp:coreProperties>
</file>